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20" w:firstLineChars="100"/>
        <w:jc w:val="center"/>
        <w:rPr>
          <w:rFonts w:ascii="黑体" w:hAnsi="黑体" w:eastAsia="黑体"/>
          <w:sz w:val="32"/>
          <w:szCs w:val="32"/>
        </w:rPr>
      </w:pPr>
      <w:r>
        <w:rPr>
          <w:rFonts w:hint="eastAsia" w:ascii="黑体" w:hAnsi="黑体" w:eastAsia="黑体"/>
          <w:sz w:val="32"/>
          <w:szCs w:val="32"/>
        </w:rPr>
        <w:t>2021“创芯中国”集成电路创新挑战赛</w:t>
      </w:r>
    </w:p>
    <w:p>
      <w:pPr>
        <w:spacing w:line="220" w:lineRule="atLeast"/>
        <w:ind w:firstLine="320" w:firstLineChars="100"/>
        <w:jc w:val="center"/>
        <w:rPr>
          <w:rFonts w:ascii="黑体" w:hAnsi="黑体" w:eastAsia="黑体"/>
          <w:sz w:val="32"/>
          <w:szCs w:val="32"/>
        </w:rPr>
      </w:pPr>
      <w:r>
        <w:rPr>
          <w:rFonts w:hint="eastAsia" w:ascii="黑体" w:hAnsi="黑体" w:eastAsia="黑体"/>
          <w:sz w:val="32"/>
          <w:szCs w:val="32"/>
        </w:rPr>
        <w:t>评审专家信息表</w:t>
      </w:r>
    </w:p>
    <w:tbl>
      <w:tblPr>
        <w:tblStyle w:val="8"/>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79"/>
        <w:gridCol w:w="361"/>
        <w:gridCol w:w="919"/>
        <w:gridCol w:w="1161"/>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姓名</w:t>
            </w:r>
          </w:p>
        </w:tc>
        <w:tc>
          <w:tcPr>
            <w:tcW w:w="1279" w:type="dxa"/>
            <w:vAlign w:val="center"/>
          </w:tcPr>
          <w:p>
            <w:pPr>
              <w:spacing w:after="0" w:line="220" w:lineRule="atLeast"/>
              <w:jc w:val="center"/>
              <w:rPr>
                <w:rFonts w:ascii="仿宋" w:hAnsi="仿宋" w:eastAsia="仿宋"/>
                <w:b/>
                <w:sz w:val="28"/>
                <w:szCs w:val="28"/>
              </w:rPr>
            </w:pPr>
          </w:p>
        </w:tc>
        <w:tc>
          <w:tcPr>
            <w:tcW w:w="1280" w:type="dxa"/>
            <w:gridSpan w:val="2"/>
            <w:vAlign w:val="center"/>
          </w:tcPr>
          <w:p>
            <w:pPr>
              <w:spacing w:after="0" w:line="220" w:lineRule="atLeast"/>
              <w:jc w:val="center"/>
              <w:rPr>
                <w:rFonts w:ascii="仿宋" w:hAnsi="仿宋" w:eastAsia="仿宋"/>
                <w:b/>
                <w:sz w:val="28"/>
                <w:szCs w:val="28"/>
              </w:rPr>
            </w:pPr>
            <w:r>
              <w:rPr>
                <w:rFonts w:ascii="仿宋" w:hAnsi="仿宋" w:eastAsia="仿宋"/>
                <w:b/>
                <w:sz w:val="28"/>
                <w:szCs w:val="28"/>
              </w:rPr>
              <w:t>性别</w:t>
            </w:r>
          </w:p>
        </w:tc>
        <w:tc>
          <w:tcPr>
            <w:tcW w:w="1161" w:type="dxa"/>
            <w:vAlign w:val="center"/>
          </w:tcPr>
          <w:p>
            <w:pPr>
              <w:spacing w:after="0" w:line="220" w:lineRule="atLeast"/>
              <w:jc w:val="center"/>
              <w:rPr>
                <w:rFonts w:ascii="仿宋" w:hAnsi="仿宋" w:eastAsia="仿宋"/>
                <w:b/>
                <w:sz w:val="28"/>
                <w:szCs w:val="28"/>
              </w:rPr>
            </w:pPr>
          </w:p>
        </w:tc>
        <w:tc>
          <w:tcPr>
            <w:tcW w:w="3045" w:type="dxa"/>
            <w:vMerge w:val="restart"/>
            <w:vAlign w:val="center"/>
          </w:tcPr>
          <w:p>
            <w:pPr>
              <w:spacing w:after="0" w:line="220" w:lineRule="atLeas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工作单位</w:t>
            </w:r>
          </w:p>
        </w:tc>
        <w:tc>
          <w:tcPr>
            <w:tcW w:w="3720" w:type="dxa"/>
            <w:gridSpan w:val="4"/>
            <w:vAlign w:val="center"/>
          </w:tcPr>
          <w:p>
            <w:pPr>
              <w:spacing w:after="0" w:line="220" w:lineRule="atLeast"/>
              <w:jc w:val="center"/>
              <w:rPr>
                <w:rFonts w:ascii="仿宋" w:hAnsi="仿宋" w:eastAsia="仿宋"/>
                <w:b/>
                <w:sz w:val="28"/>
                <w:szCs w:val="28"/>
              </w:rPr>
            </w:pPr>
          </w:p>
        </w:tc>
        <w:tc>
          <w:tcPr>
            <w:tcW w:w="3045" w:type="dxa"/>
            <w:vMerge w:val="continue"/>
            <w:vAlign w:val="center"/>
          </w:tcPr>
          <w:p>
            <w:pPr>
              <w:spacing w:after="0" w:line="220" w:lineRule="atLeas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联系电话</w:t>
            </w:r>
          </w:p>
        </w:tc>
        <w:tc>
          <w:tcPr>
            <w:tcW w:w="3720" w:type="dxa"/>
            <w:gridSpan w:val="4"/>
            <w:vAlign w:val="center"/>
          </w:tcPr>
          <w:p>
            <w:pPr>
              <w:spacing w:after="0" w:line="220" w:lineRule="atLeast"/>
              <w:jc w:val="center"/>
              <w:rPr>
                <w:rFonts w:ascii="仿宋" w:hAnsi="仿宋" w:eastAsia="仿宋"/>
                <w:b/>
                <w:sz w:val="28"/>
                <w:szCs w:val="28"/>
              </w:rPr>
            </w:pPr>
            <w:r>
              <w:rPr>
                <w:rFonts w:ascii="仿宋" w:hAnsi="仿宋" w:eastAsia="仿宋"/>
                <w:b/>
                <w:sz w:val="28"/>
                <w:szCs w:val="28"/>
              </w:rPr>
              <w:tab/>
            </w:r>
          </w:p>
        </w:tc>
        <w:tc>
          <w:tcPr>
            <w:tcW w:w="3045" w:type="dxa"/>
            <w:vMerge w:val="continue"/>
            <w:vAlign w:val="center"/>
          </w:tcPr>
          <w:p>
            <w:pPr>
              <w:spacing w:after="0" w:line="220" w:lineRule="atLeas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职务</w:t>
            </w:r>
          </w:p>
        </w:tc>
        <w:tc>
          <w:tcPr>
            <w:tcW w:w="1640" w:type="dxa"/>
            <w:gridSpan w:val="2"/>
            <w:vAlign w:val="center"/>
          </w:tcPr>
          <w:p>
            <w:pPr>
              <w:spacing w:after="0" w:line="220" w:lineRule="atLeast"/>
              <w:jc w:val="center"/>
              <w:rPr>
                <w:rFonts w:ascii="仿宋" w:hAnsi="仿宋" w:eastAsia="仿宋"/>
                <w:b/>
                <w:sz w:val="28"/>
                <w:szCs w:val="28"/>
              </w:rPr>
            </w:pPr>
          </w:p>
        </w:tc>
        <w:tc>
          <w:tcPr>
            <w:tcW w:w="2080" w:type="dxa"/>
            <w:gridSpan w:val="2"/>
            <w:vAlign w:val="center"/>
          </w:tcPr>
          <w:p>
            <w:pPr>
              <w:spacing w:after="0" w:line="220" w:lineRule="atLeast"/>
              <w:jc w:val="center"/>
              <w:rPr>
                <w:rFonts w:ascii="仿宋" w:hAnsi="仿宋" w:eastAsia="仿宋"/>
                <w:b/>
                <w:sz w:val="28"/>
                <w:szCs w:val="28"/>
              </w:rPr>
            </w:pPr>
            <w:r>
              <w:rPr>
                <w:rFonts w:ascii="仿宋" w:hAnsi="仿宋" w:eastAsia="仿宋"/>
                <w:b/>
                <w:sz w:val="28"/>
                <w:szCs w:val="28"/>
              </w:rPr>
              <w:t>职称</w:t>
            </w:r>
          </w:p>
        </w:tc>
        <w:tc>
          <w:tcPr>
            <w:tcW w:w="3045" w:type="dxa"/>
            <w:vAlign w:val="center"/>
          </w:tcPr>
          <w:p>
            <w:pPr>
              <w:spacing w:after="0" w:line="220" w:lineRule="atLeas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最高学历</w:t>
            </w:r>
          </w:p>
        </w:tc>
        <w:tc>
          <w:tcPr>
            <w:tcW w:w="1640" w:type="dxa"/>
            <w:gridSpan w:val="2"/>
            <w:vAlign w:val="center"/>
          </w:tcPr>
          <w:p>
            <w:pPr>
              <w:spacing w:after="0" w:line="220" w:lineRule="atLeast"/>
              <w:jc w:val="center"/>
              <w:rPr>
                <w:rFonts w:ascii="仿宋" w:hAnsi="仿宋" w:eastAsia="仿宋"/>
                <w:b/>
                <w:sz w:val="28"/>
                <w:szCs w:val="28"/>
              </w:rPr>
            </w:pPr>
          </w:p>
        </w:tc>
        <w:tc>
          <w:tcPr>
            <w:tcW w:w="2080" w:type="dxa"/>
            <w:gridSpan w:val="2"/>
            <w:vAlign w:val="center"/>
          </w:tcPr>
          <w:p>
            <w:pPr>
              <w:spacing w:after="0" w:line="220" w:lineRule="atLeast"/>
              <w:jc w:val="center"/>
              <w:rPr>
                <w:rFonts w:ascii="仿宋" w:hAnsi="仿宋" w:eastAsia="仿宋"/>
                <w:b/>
                <w:sz w:val="28"/>
                <w:szCs w:val="28"/>
              </w:rPr>
            </w:pPr>
            <w:r>
              <w:rPr>
                <w:rFonts w:ascii="仿宋" w:hAnsi="仿宋" w:eastAsia="仿宋"/>
                <w:b/>
                <w:sz w:val="28"/>
                <w:szCs w:val="28"/>
              </w:rPr>
              <w:t>电子邮箱</w:t>
            </w:r>
          </w:p>
        </w:tc>
        <w:tc>
          <w:tcPr>
            <w:tcW w:w="3045" w:type="dxa"/>
            <w:vAlign w:val="center"/>
          </w:tcPr>
          <w:p>
            <w:pPr>
              <w:spacing w:after="0" w:line="220" w:lineRule="atLeas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专业领域</w:t>
            </w:r>
          </w:p>
        </w:tc>
        <w:tc>
          <w:tcPr>
            <w:tcW w:w="6765" w:type="dxa"/>
            <w:gridSpan w:val="5"/>
            <w:vAlign w:val="center"/>
          </w:tcPr>
          <w:p>
            <w:pPr>
              <w:spacing w:after="0" w:line="220" w:lineRule="atLeast"/>
              <w:jc w:val="center"/>
              <w:rPr>
                <w:rFonts w:ascii="仿宋" w:hAnsi="仿宋" w:eastAsia="仿宋"/>
                <w:b/>
                <w:sz w:val="28"/>
                <w:szCs w:val="28"/>
              </w:rPr>
            </w:pPr>
            <w:r>
              <w:rPr>
                <w:rFonts w:ascii="仿宋" w:hAnsi="仿宋" w:eastAsia="仿宋"/>
                <w:b/>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3" w:hRule="atLeast"/>
        </w:trPr>
        <w:tc>
          <w:tcPr>
            <w:tcW w:w="1808" w:type="dxa"/>
            <w:vAlign w:val="center"/>
          </w:tcPr>
          <w:p>
            <w:pPr>
              <w:spacing w:after="0" w:line="220" w:lineRule="atLeast"/>
              <w:jc w:val="center"/>
              <w:rPr>
                <w:rFonts w:ascii="仿宋" w:hAnsi="仿宋" w:eastAsia="仿宋"/>
                <w:b/>
                <w:sz w:val="28"/>
                <w:szCs w:val="28"/>
              </w:rPr>
            </w:pPr>
            <w:r>
              <w:rPr>
                <w:rFonts w:ascii="仿宋" w:hAnsi="仿宋" w:eastAsia="仿宋"/>
                <w:b/>
                <w:sz w:val="28"/>
                <w:szCs w:val="28"/>
              </w:rPr>
              <w:t>个人简介</w:t>
            </w:r>
            <w:r>
              <w:rPr>
                <w:rFonts w:hint="eastAsia" w:ascii="仿宋" w:hAnsi="仿宋" w:eastAsia="仿宋"/>
                <w:b/>
                <w:sz w:val="28"/>
                <w:szCs w:val="28"/>
              </w:rPr>
              <w:t>（含专业领域成就）（300字以内）</w:t>
            </w:r>
          </w:p>
        </w:tc>
        <w:tc>
          <w:tcPr>
            <w:tcW w:w="6765" w:type="dxa"/>
            <w:gridSpan w:val="5"/>
            <w:vAlign w:val="center"/>
          </w:tcPr>
          <w:p>
            <w:pPr>
              <w:spacing w:after="0" w:line="220" w:lineRule="atLeast"/>
              <w:ind w:firstLine="562" w:firstLineChars="200"/>
              <w:jc w:val="left"/>
              <w:rPr>
                <w:rFonts w:ascii="仿宋" w:hAnsi="仿宋" w:eastAsia="仿宋"/>
                <w:b/>
                <w:sz w:val="28"/>
                <w:szCs w:val="28"/>
              </w:rPr>
            </w:pPr>
            <w:bookmarkStart w:id="0" w:name="_GoBack"/>
            <w:bookmarkEnd w:id="0"/>
          </w:p>
        </w:tc>
      </w:tr>
    </w:tbl>
    <w:p>
      <w:pPr>
        <w:spacing w:line="220" w:lineRule="atLeast"/>
        <w:rPr>
          <w:rFonts w:asciiTheme="minorEastAsia" w:hAnsiTheme="minorEastAsia" w:eastAsiaTheme="minorEastAsia"/>
          <w:sz w:val="28"/>
          <w:szCs w:val="28"/>
        </w:rPr>
      </w:pPr>
    </w:p>
    <w:p>
      <w:pPr>
        <w:spacing w:line="220" w:lineRule="atLeast"/>
        <w:jc w:val="center"/>
        <w:rPr>
          <w:rFonts w:ascii="黑体" w:hAnsi="黑体" w:eastAsia="黑体"/>
          <w:sz w:val="32"/>
          <w:szCs w:val="32"/>
        </w:rPr>
      </w:pPr>
      <w:r>
        <w:rPr>
          <w:rFonts w:hint="eastAsia" w:ascii="黑体" w:hAnsi="黑体" w:eastAsia="黑体"/>
          <w:sz w:val="32"/>
          <w:szCs w:val="32"/>
        </w:rPr>
        <w:t>2021“创芯中国”集成电路创新挑战赛评审专家管理办法</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2021“创芯中国”集成电路创新挑战赛启动以来，为保障大赛顺利进行，凸显大赛权威性、公开性、公正性和透明性，大赛面向社会征集评审专家并经过审核、遴选后组建评审专家库。为科学、合理、高效管理、组织评审专家库，特此颁布此管理办法，本办法对专家类别、专家资格、申请方式、选派方式和专家纪律进行规定，对所有入选评审专家库的专家成员具有管理效力。</w:t>
      </w:r>
    </w:p>
    <w:p>
      <w:pPr>
        <w:pStyle w:val="10"/>
        <w:numPr>
          <w:ilvl w:val="0"/>
          <w:numId w:val="1"/>
        </w:numPr>
        <w:spacing w:line="220" w:lineRule="atLeast"/>
        <w:ind w:firstLineChars="0"/>
        <w:rPr>
          <w:rFonts w:ascii="黑体" w:hAnsi="黑体" w:eastAsia="黑体"/>
          <w:sz w:val="24"/>
          <w:szCs w:val="24"/>
        </w:rPr>
      </w:pPr>
      <w:r>
        <w:rPr>
          <w:rFonts w:hint="eastAsia" w:ascii="黑体" w:hAnsi="黑体" w:eastAsia="黑体"/>
          <w:sz w:val="24"/>
          <w:szCs w:val="24"/>
        </w:rPr>
        <w:t>专家类别</w:t>
      </w:r>
    </w:p>
    <w:p>
      <w:pPr>
        <w:pStyle w:val="10"/>
        <w:numPr>
          <w:ilvl w:val="0"/>
          <w:numId w:val="2"/>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院校专家：由集成电路专业及相关领域内的知名院校教授、副教授及专家组成。</w:t>
      </w:r>
    </w:p>
    <w:p>
      <w:pPr>
        <w:pStyle w:val="10"/>
        <w:numPr>
          <w:ilvl w:val="0"/>
          <w:numId w:val="2"/>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产业专家：由集成电路行业内研究机构、行业协会、社会组织内的知名研究专家、产业观察员等组成。</w:t>
      </w:r>
    </w:p>
    <w:p>
      <w:pPr>
        <w:pStyle w:val="10"/>
        <w:numPr>
          <w:ilvl w:val="0"/>
          <w:numId w:val="2"/>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技术专家：由集成电路行业内技术研究领域内知名专家和骨干组成。</w:t>
      </w:r>
    </w:p>
    <w:p>
      <w:pPr>
        <w:pStyle w:val="10"/>
        <w:numPr>
          <w:ilvl w:val="0"/>
          <w:numId w:val="2"/>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投资专家：由创投行业领军人士、知名创业企业家、知名创业导师组成。</w:t>
      </w:r>
    </w:p>
    <w:p>
      <w:pPr>
        <w:pStyle w:val="10"/>
        <w:spacing w:line="220" w:lineRule="atLeast"/>
        <w:ind w:left="890" w:firstLine="0" w:firstLineChars="0"/>
        <w:rPr>
          <w:rFonts w:asciiTheme="minorEastAsia" w:hAnsiTheme="minorEastAsia" w:eastAsiaTheme="minorEastAsia"/>
          <w:sz w:val="24"/>
          <w:szCs w:val="24"/>
        </w:rPr>
      </w:pPr>
    </w:p>
    <w:p>
      <w:pPr>
        <w:pStyle w:val="10"/>
        <w:numPr>
          <w:ilvl w:val="0"/>
          <w:numId w:val="1"/>
        </w:numPr>
        <w:spacing w:line="220" w:lineRule="atLeast"/>
        <w:ind w:firstLineChars="0"/>
        <w:rPr>
          <w:rFonts w:ascii="黑体" w:hAnsi="黑体" w:eastAsia="黑体"/>
          <w:sz w:val="24"/>
          <w:szCs w:val="24"/>
        </w:rPr>
      </w:pPr>
      <w:r>
        <w:rPr>
          <w:rFonts w:hint="eastAsia" w:ascii="黑体" w:hAnsi="黑体" w:eastAsia="黑体"/>
          <w:sz w:val="24"/>
          <w:szCs w:val="24"/>
        </w:rPr>
        <w:t>评审专家人选应满足的基本条件</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具有良好的道德素质、社会责任感和公益情怀，遵纪守法，作风正派，严格自律，能够客观公正、认真负责地履行大赛评审职责。</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院校专家需具有正高级或相当于正高以上技术职称，在集成电路及相关技术领域内具有深厚造诣。熟悉本专业国内外技术和产业发展趋势，在集成电路行业领域有较高知名度和影响力。</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产业专家需在专业研究机构、行业组织内担任主要负责人，具备扎实专业技术功底，或具备十年以上集成电路企业跟踪调查、行业研究、战略规划、经营管理研究等工作实践经验，具有较强的分析与综合判断能力。</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技术专家需满足在上市或规模以上企业担任公司高层领导或技术主管，担任所在企业技术负责人或参与国际、国内标准制定，或具备十年以上相关产业领域技术研发、技术评估、技术应用与技术管理的工作实践经验，具有较强的技术专业水平与综合判断能力。</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投资专家应在大型金融机构担任部门主管，或国内知名孵化器和双创基地主要负责人，或高校和科研院所从事创新创业指导工作的负责人。具备十年以上企业投资经验，或5年以上集成电路行业及相关领域投资经验，或具备连续3次创业成功的经验，具有较强的分析与综合判断能力。</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遵守大赛各项纪律，廉洁自律，严格执行保密制度，保护企业商业秘密，主动回避具有利益相关的企业和项目，配合大赛评选时间安排。</w:t>
      </w:r>
    </w:p>
    <w:p>
      <w:pPr>
        <w:pStyle w:val="10"/>
        <w:numPr>
          <w:ilvl w:val="0"/>
          <w:numId w:val="3"/>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接受大赛宣传安排，同意提供可公开的信息和音像资料，用于活动海报、画册手册、易拉宝等展示。</w:t>
      </w:r>
    </w:p>
    <w:p>
      <w:pPr>
        <w:pStyle w:val="10"/>
        <w:numPr>
          <w:ilvl w:val="0"/>
          <w:numId w:val="1"/>
        </w:numPr>
        <w:spacing w:line="220" w:lineRule="atLeast"/>
        <w:ind w:firstLineChars="0"/>
        <w:rPr>
          <w:rFonts w:ascii="黑体" w:hAnsi="黑体" w:eastAsia="黑体"/>
          <w:sz w:val="24"/>
          <w:szCs w:val="24"/>
        </w:rPr>
      </w:pPr>
      <w:r>
        <w:rPr>
          <w:rFonts w:hint="eastAsia" w:ascii="黑体" w:hAnsi="黑体" w:eastAsia="黑体"/>
          <w:sz w:val="24"/>
          <w:szCs w:val="24"/>
        </w:rPr>
        <w:t>专家来源</w:t>
      </w:r>
    </w:p>
    <w:p>
      <w:pPr>
        <w:pStyle w:val="10"/>
        <w:numPr>
          <w:ilvl w:val="0"/>
          <w:numId w:val="4"/>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邀请：从工信部、科技部等行业主管部门专家库，知名研究机构、行业协会等专家来源中邀请各行、各类优秀专家转入大赛专家库。</w:t>
      </w:r>
    </w:p>
    <w:p>
      <w:pPr>
        <w:pStyle w:val="10"/>
        <w:numPr>
          <w:ilvl w:val="0"/>
          <w:numId w:val="4"/>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推荐：由各赛区承办单位、合作服务机构推荐，大赛组委会依照申请标准审核确认后入围大赛专家库。</w:t>
      </w:r>
    </w:p>
    <w:p>
      <w:pPr>
        <w:pStyle w:val="10"/>
        <w:numPr>
          <w:ilvl w:val="0"/>
          <w:numId w:val="4"/>
        </w:numPr>
        <w:spacing w:line="220" w:lineRule="atLeas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自荐：愿意为集成电路产业发展贡献自身力量，并有意受聘担任评审专家的人员，自荐申请成为评审专家。</w:t>
      </w:r>
    </w:p>
    <w:p>
      <w:pPr>
        <w:pStyle w:val="10"/>
        <w:numPr>
          <w:ilvl w:val="0"/>
          <w:numId w:val="1"/>
        </w:numPr>
        <w:spacing w:line="220" w:lineRule="atLeast"/>
        <w:ind w:firstLineChars="0"/>
        <w:rPr>
          <w:rFonts w:ascii="黑体" w:hAnsi="黑体" w:eastAsia="黑体"/>
          <w:sz w:val="24"/>
          <w:szCs w:val="24"/>
        </w:rPr>
      </w:pPr>
      <w:r>
        <w:rPr>
          <w:rFonts w:hint="eastAsia" w:ascii="黑体" w:hAnsi="黑体" w:eastAsia="黑体"/>
          <w:sz w:val="24"/>
          <w:szCs w:val="24"/>
        </w:rPr>
        <w:t>专家评审纪律</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1.独立、客观、公正、科学的对高校组和社会组参赛团队进行评价和评分。</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2.遵守评审专家评审纪律，接受大赛评审委员会监督，未经允许不得泄露任何与赛事相关的评审信息。</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3.自觉回避与自身存在利益关系、可能影响评选工作公正性的项目的评审工作。</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4.不得泄露被评选项目名单及同组评委名单。不得擅自披露、使用被评选项目涉及技术经济信息及商业秘密的各类资料。不得复制保留或向他人扩散评选资料。评选结束所有评选材料需返还。</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5.未经大赛评审委员会批准，不得泄露评选结果。评委不得自行调换评选组，不得跨组进行有碍公正评选的有关讨论。</w:t>
      </w:r>
    </w:p>
    <w:p>
      <w:pPr>
        <w:spacing w:line="22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6.须遵守大赛评审纪律及其他相关规定。</w:t>
      </w:r>
    </w:p>
    <w:p>
      <w:pPr>
        <w:spacing w:line="220" w:lineRule="atLeast"/>
        <w:ind w:firstLine="640" w:firstLineChars="200"/>
        <w:jc w:val="center"/>
        <w:rPr>
          <w:rFonts w:asciiTheme="minorEastAsia" w:hAnsiTheme="minorEastAsia" w:eastAsiaTheme="minorEastAsia"/>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54D43"/>
    <w:multiLevelType w:val="multilevel"/>
    <w:tmpl w:val="22054D43"/>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249B0E30"/>
    <w:multiLevelType w:val="multilevel"/>
    <w:tmpl w:val="249B0E30"/>
    <w:lvl w:ilvl="0" w:tentative="0">
      <w:start w:val="1"/>
      <w:numFmt w:val="japaneseCounting"/>
      <w:lvlText w:val="%1、"/>
      <w:lvlJc w:val="left"/>
      <w:pPr>
        <w:ind w:left="876" w:hanging="45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34F54898"/>
    <w:multiLevelType w:val="multilevel"/>
    <w:tmpl w:val="34F54898"/>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4C077DF1"/>
    <w:multiLevelType w:val="multilevel"/>
    <w:tmpl w:val="4C077DF1"/>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A4760"/>
    <w:rsid w:val="000A746C"/>
    <w:rsid w:val="000F4001"/>
    <w:rsid w:val="00106EDE"/>
    <w:rsid w:val="00124AEB"/>
    <w:rsid w:val="00140E47"/>
    <w:rsid w:val="00141A29"/>
    <w:rsid w:val="001970D0"/>
    <w:rsid w:val="001E542F"/>
    <w:rsid w:val="002021E7"/>
    <w:rsid w:val="00267894"/>
    <w:rsid w:val="002F345E"/>
    <w:rsid w:val="002F6F13"/>
    <w:rsid w:val="00303717"/>
    <w:rsid w:val="00304BE6"/>
    <w:rsid w:val="0031165B"/>
    <w:rsid w:val="00323B43"/>
    <w:rsid w:val="00343985"/>
    <w:rsid w:val="003577A2"/>
    <w:rsid w:val="003B24BC"/>
    <w:rsid w:val="003C0AD2"/>
    <w:rsid w:val="003C141C"/>
    <w:rsid w:val="003D21A3"/>
    <w:rsid w:val="003D37D8"/>
    <w:rsid w:val="003E5643"/>
    <w:rsid w:val="00426133"/>
    <w:rsid w:val="004358AB"/>
    <w:rsid w:val="004A626F"/>
    <w:rsid w:val="004A7586"/>
    <w:rsid w:val="004B7282"/>
    <w:rsid w:val="004D615B"/>
    <w:rsid w:val="00502B0D"/>
    <w:rsid w:val="005647C7"/>
    <w:rsid w:val="00574C7B"/>
    <w:rsid w:val="00581716"/>
    <w:rsid w:val="005A6925"/>
    <w:rsid w:val="005F3AC1"/>
    <w:rsid w:val="006047AE"/>
    <w:rsid w:val="00645D32"/>
    <w:rsid w:val="0065409E"/>
    <w:rsid w:val="0067157C"/>
    <w:rsid w:val="006A19FB"/>
    <w:rsid w:val="006B0F87"/>
    <w:rsid w:val="006B0FE1"/>
    <w:rsid w:val="006C0097"/>
    <w:rsid w:val="007217C9"/>
    <w:rsid w:val="007566F7"/>
    <w:rsid w:val="00763D9C"/>
    <w:rsid w:val="007C4906"/>
    <w:rsid w:val="00824340"/>
    <w:rsid w:val="008B7726"/>
    <w:rsid w:val="008E2476"/>
    <w:rsid w:val="008F27D6"/>
    <w:rsid w:val="00926146"/>
    <w:rsid w:val="00952695"/>
    <w:rsid w:val="0097226D"/>
    <w:rsid w:val="009B02F8"/>
    <w:rsid w:val="009C3C46"/>
    <w:rsid w:val="00A73AAD"/>
    <w:rsid w:val="00A80C3F"/>
    <w:rsid w:val="00AD13BB"/>
    <w:rsid w:val="00AE4BC9"/>
    <w:rsid w:val="00AF37B9"/>
    <w:rsid w:val="00B07B23"/>
    <w:rsid w:val="00B73C2F"/>
    <w:rsid w:val="00BA43A2"/>
    <w:rsid w:val="00BE68D9"/>
    <w:rsid w:val="00C05901"/>
    <w:rsid w:val="00C116D4"/>
    <w:rsid w:val="00C70EA8"/>
    <w:rsid w:val="00C767F6"/>
    <w:rsid w:val="00C84244"/>
    <w:rsid w:val="00C86DD8"/>
    <w:rsid w:val="00C91AAC"/>
    <w:rsid w:val="00CC7649"/>
    <w:rsid w:val="00CD2067"/>
    <w:rsid w:val="00CE42D2"/>
    <w:rsid w:val="00D05C3F"/>
    <w:rsid w:val="00D109B0"/>
    <w:rsid w:val="00D1791D"/>
    <w:rsid w:val="00D245D1"/>
    <w:rsid w:val="00D31D50"/>
    <w:rsid w:val="00D47C06"/>
    <w:rsid w:val="00D67E70"/>
    <w:rsid w:val="00D802B1"/>
    <w:rsid w:val="00D9570F"/>
    <w:rsid w:val="00DA48D7"/>
    <w:rsid w:val="00DA6E9D"/>
    <w:rsid w:val="00DD5A87"/>
    <w:rsid w:val="00E07385"/>
    <w:rsid w:val="00E47FB6"/>
    <w:rsid w:val="00ED1881"/>
    <w:rsid w:val="00EF75C0"/>
    <w:rsid w:val="00F3792D"/>
    <w:rsid w:val="00F54F6D"/>
    <w:rsid w:val="00F81861"/>
    <w:rsid w:val="00F82B69"/>
    <w:rsid w:val="00F87E44"/>
    <w:rsid w:val="00F97067"/>
    <w:rsid w:val="060830BA"/>
    <w:rsid w:val="166E1A67"/>
    <w:rsid w:val="18BC1E2D"/>
    <w:rsid w:val="1D9F48EF"/>
    <w:rsid w:val="204D31C1"/>
    <w:rsid w:val="273565A7"/>
    <w:rsid w:val="44BD2196"/>
    <w:rsid w:val="489D44B1"/>
    <w:rsid w:val="4C920781"/>
    <w:rsid w:val="4F645F33"/>
    <w:rsid w:val="57B7624B"/>
    <w:rsid w:val="5F2D6274"/>
    <w:rsid w:val="6A1A1A8D"/>
    <w:rsid w:val="6B03439F"/>
    <w:rsid w:val="754FDBA9"/>
    <w:rsid w:val="75F21065"/>
    <w:rsid w:val="788FCAB2"/>
    <w:rsid w:val="7FE79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 w:type="character" w:customStyle="1" w:styleId="11">
    <w:name w:val="页眉 Char"/>
    <w:basedOn w:val="9"/>
    <w:link w:val="5"/>
    <w:semiHidden/>
    <w:qFormat/>
    <w:uiPriority w:val="99"/>
    <w:rPr>
      <w:rFonts w:ascii="Tahoma" w:hAnsi="Tahoma"/>
      <w:sz w:val="18"/>
      <w:szCs w:val="18"/>
    </w:rPr>
  </w:style>
  <w:style w:type="character" w:customStyle="1" w:styleId="12">
    <w:name w:val="页脚 Char"/>
    <w:basedOn w:val="9"/>
    <w:link w:val="4"/>
    <w:semiHidden/>
    <w:qFormat/>
    <w:uiPriority w:val="99"/>
    <w:rPr>
      <w:rFonts w:ascii="Tahoma" w:hAnsi="Tahoma"/>
      <w:sz w:val="18"/>
      <w:szCs w:val="18"/>
    </w:rPr>
  </w:style>
  <w:style w:type="character" w:customStyle="1" w:styleId="13">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224</Words>
  <Characters>1281</Characters>
  <Lines>10</Lines>
  <Paragraphs>3</Paragraphs>
  <TotalTime>1</TotalTime>
  <ScaleCrop>false</ScaleCrop>
  <LinksUpToDate>false</LinksUpToDate>
  <CharactersWithSpaces>1502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2021-02-23T23:21:00Z</dcterms:created>
  <dc:creator>HUAWEI</dc:creator>
  <cp:lastModifiedBy>源</cp:lastModifiedBy>
  <dcterms:modified xsi:type="dcterms:W3CDTF">2021-08-10T05:39:21Z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E1677E56092743A395FDD63018EAE8D6</vt:lpwstr>
  </property>
</Properties>
</file>